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6.2.0 -->
  <w:body>
    <w:p>
      <w:pPr>
        <w:sectPr>
          <w:headerReference w:type="default" r:id="rId4"/>
          <w:footerReference w:type="default" r:id="rId5"/>
          <w:footerReference w:type="first" r:id="rId6"/>
          <w:pgSz w:w="12240" w:h="15840"/>
          <w:pgMar w:top="840" w:right="1000" w:bottom="840" w:left="1000" w:header="400" w:footer="400"/>
          <w:pgNumType w:fmt="decimal"/>
          <w:cols w:space="720"/>
          <w:titlePg/>
        </w:sectPr>
      </w:pPr>
    </w:p>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exisNexis®" style="width:147.75pt;height:30pt">
            <v:imagedata r:id="rId7" o:title=""/>
          </v:shape>
        </w:pict>
      </w:r>
      <w:r>
        <w:cr/>
      </w:r>
    </w:p>
    <w:p>
      <w:hyperlink r:id="rId8" w:history="1">
        <w:r>
          <w:pict>
            <v:shape id="_x0000_i1026" type="#_x0000_t75" style="width:12.75pt;height:12.75pt">
              <v:imagedata r:id="rId9" o:title=""/>
            </v:shape>
          </w:pict>
        </w:r>
      </w:hyperlink>
      <w:r>
        <w:rPr>
          <w:rFonts w:ascii="arial" w:eastAsia="arial" w:hAnsi="arial" w:cs="arial"/>
          <w:b w:val="0"/>
          <w:i w:val="0"/>
          <w:strike w:val="0"/>
          <w:noProof w:val="0"/>
          <w:color w:val="000000"/>
          <w:position w:val="0"/>
          <w:sz w:val="18"/>
          <w:u w:val="none"/>
          <w:vertAlign w:val="baseline"/>
        </w:rPr>
        <w:t>   Neutral</w:t>
        <w:cr/>
        <w:t>As of: April 10, 2026 1:33 PM Z</w:t>
      </w:r>
    </w:p>
    <w:p>
      <w:pPr>
        <w:pStyle w:val="Heading1"/>
        <w:keepNext w:val="0"/>
        <w:spacing w:after="200" w:line="340" w:lineRule="atLeast"/>
        <w:ind w:left="0" w:right="0" w:firstLine="0"/>
        <w:jc w:val="center"/>
      </w:pPr>
      <w:hyperlink r:id="rId10" w:history="1">
        <w:r>
          <w:rPr>
            <w:rFonts w:ascii="arial" w:eastAsia="arial" w:hAnsi="arial" w:cs="arial"/>
            <w:b/>
            <w:i/>
            <w:strike w:val="0"/>
            <w:color w:val="0077CC"/>
            <w:sz w:val="28"/>
            <w:u w:val="single"/>
            <w:shd w:val="clear" w:color="auto" w:fill="FFFFFF"/>
            <w:vertAlign w:val="baseline"/>
          </w:rPr>
          <w:t>Stromberg v. East Riv. Hous. Corp.</w:t>
        </w:r>
      </w:hyperlink>
    </w:p>
    <w:p>
      <w:pPr>
        <w:keepNext w:val="0"/>
        <w:spacing w:before="120" w:after="0" w:line="260" w:lineRule="atLeast"/>
        <w:ind w:left="0" w:right="0" w:firstLine="0"/>
        <w:jc w:val="center"/>
      </w:pPr>
      <w:r>
        <w:rPr>
          <w:rFonts w:ascii="arial" w:eastAsia="arial" w:hAnsi="arial" w:cs="arial"/>
          <w:b w:val="0"/>
          <w:i w:val="0"/>
          <w:strike w:val="0"/>
          <w:noProof w:val="0"/>
          <w:color w:val="000000"/>
          <w:position w:val="0"/>
          <w:sz w:val="20"/>
          <w:u w:val="none"/>
          <w:vertAlign w:val="baseline"/>
        </w:rPr>
        <w:t>Supreme Court of New York, Appellate Division, First Department</w:t>
      </w:r>
    </w:p>
    <w:p>
      <w:pPr>
        <w:keepNext w:val="0"/>
        <w:spacing w:before="120" w:after="0" w:line="260" w:lineRule="atLeast"/>
        <w:ind w:left="0" w:right="0" w:firstLine="0"/>
        <w:jc w:val="center"/>
      </w:pPr>
      <w:r>
        <w:rPr>
          <w:rFonts w:ascii="arial" w:eastAsia="arial" w:hAnsi="arial" w:cs="arial"/>
          <w:b w:val="0"/>
          <w:i w:val="0"/>
          <w:strike w:val="0"/>
          <w:noProof w:val="0"/>
          <w:color w:val="000000"/>
          <w:position w:val="0"/>
          <w:sz w:val="20"/>
          <w:u w:val="none"/>
          <w:vertAlign w:val="baseline"/>
        </w:rPr>
        <w:t>August 21, 2025, Decided; August 21, 2025, Entered</w:t>
      </w:r>
    </w:p>
    <w:p>
      <w:pPr>
        <w:keepNext w:val="0"/>
        <w:spacing w:before="120" w:after="0" w:line="260" w:lineRule="atLeast"/>
        <w:ind w:left="0" w:right="0" w:firstLine="0"/>
        <w:jc w:val="center"/>
      </w:pPr>
      <w:r>
        <w:rPr>
          <w:rFonts w:ascii="arial" w:eastAsia="arial" w:hAnsi="arial" w:cs="arial"/>
          <w:b w:val="0"/>
          <w:i w:val="0"/>
          <w:strike w:val="0"/>
          <w:noProof w:val="0"/>
          <w:color w:val="000000"/>
          <w:position w:val="0"/>
          <w:sz w:val="20"/>
          <w:u w:val="none"/>
          <w:vertAlign w:val="baseline"/>
        </w:rPr>
        <w:t xml:space="preserve">Index No. 654047/22, Appeal No. 4356, Case No. </w:t>
      </w:r>
      <w:r>
        <w:rPr>
          <w:rFonts w:ascii="arial" w:eastAsia="arial" w:hAnsi="arial" w:cs="arial"/>
          <w:b w:val="0"/>
          <w:i w:val="0"/>
          <w:strike w:val="0"/>
          <w:noProof w:val="0"/>
          <w:color w:val="000000"/>
          <w:position w:val="0"/>
          <w:sz w:val="20"/>
          <w:u w:val="none"/>
          <w:vertAlign w:val="baseline"/>
        </w:rPr>
        <w:t>2024</w:t>
      </w:r>
      <w:r>
        <w:rPr>
          <w:rFonts w:ascii="arial" w:eastAsia="arial" w:hAnsi="arial" w:cs="arial"/>
          <w:b w:val="0"/>
          <w:i w:val="0"/>
          <w:strike w:val="0"/>
          <w:noProof w:val="0"/>
          <w:color w:val="000000"/>
          <w:position w:val="0"/>
          <w:sz w:val="20"/>
          <w:u w:val="none"/>
          <w:vertAlign w:val="baseline"/>
        </w:rPr>
        <w:t>-</w:t>
      </w:r>
      <w:r>
        <w:rPr>
          <w:rFonts w:ascii="arial" w:eastAsia="arial" w:hAnsi="arial" w:cs="arial"/>
          <w:b w:val="0"/>
          <w:i w:val="0"/>
          <w:strike w:val="0"/>
          <w:noProof w:val="0"/>
          <w:color w:val="000000"/>
          <w:position w:val="0"/>
          <w:sz w:val="20"/>
          <w:u w:val="none"/>
          <w:vertAlign w:val="baseline"/>
        </w:rPr>
        <w:t>00578</w:t>
      </w:r>
    </w:p>
    <w:p>
      <w:pPr>
        <w:keepNext w:val="0"/>
        <w:spacing w:after="0" w:line="240" w:lineRule="atLeast"/>
        <w:ind w:right="0"/>
        <w:jc w:val="both"/>
      </w:pPr>
      <w:bookmarkStart w:id="0" w:name="Bookmark_1"/>
      <w:bookmarkEnd w:id="0"/>
    </w:p>
    <w:p>
      <w:pPr>
        <w:keepNext w:val="0"/>
        <w:spacing w:before="200" w:after="0" w:line="240" w:lineRule="atLeast"/>
        <w:ind w:left="0" w:right="0" w:firstLine="0"/>
        <w:jc w:val="left"/>
      </w:pPr>
      <w:bookmarkStart w:id="1" w:name="Reporter"/>
      <w:bookmarkEnd w:id="1"/>
      <w:r>
        <w:rPr>
          <w:rFonts w:ascii="arial" w:eastAsia="arial" w:hAnsi="arial" w:cs="arial"/>
          <w:b/>
          <w:i w:val="0"/>
          <w:strike w:val="0"/>
          <w:noProof w:val="0"/>
          <w:color w:val="000000"/>
          <w:position w:val="0"/>
          <w:sz w:val="18"/>
          <w:u w:val="none"/>
          <w:vertAlign w:val="baseline"/>
        </w:rPr>
        <w:t>Reporter</w:t>
      </w:r>
    </w:p>
    <w:p>
      <w:pPr>
        <w:keepNext w:val="0"/>
        <w:spacing w:after="0" w:line="240" w:lineRule="atLeast"/>
        <w:ind w:left="0" w:right="0" w:firstLine="0"/>
        <w:jc w:val="left"/>
      </w:pPr>
      <w:r>
        <w:rPr>
          <w:rFonts w:ascii="arial" w:eastAsia="arial" w:hAnsi="arial" w:cs="arial"/>
          <w:b w:val="0"/>
          <w:i w:val="0"/>
          <w:strike w:val="0"/>
          <w:noProof w:val="0"/>
          <w:color w:val="000000"/>
          <w:position w:val="0"/>
          <w:sz w:val="18"/>
          <w:u w:val="none"/>
          <w:vertAlign w:val="baseline"/>
        </w:rPr>
        <w:t>241 A.D.3d 445 *</w:t>
      </w:r>
      <w:r>
        <w:rPr>
          <w:rFonts w:ascii="arial" w:eastAsia="arial" w:hAnsi="arial" w:cs="arial"/>
          <w:b w:val="0"/>
          <w:i w:val="0"/>
          <w:strike w:val="0"/>
          <w:noProof w:val="0"/>
          <w:color w:val="000000"/>
          <w:position w:val="0"/>
          <w:sz w:val="18"/>
          <w:u w:val="none"/>
          <w:vertAlign w:val="baseline"/>
        </w:rPr>
        <w:t xml:space="preserve">; </w:t>
      </w:r>
      <w:r>
        <w:rPr>
          <w:rFonts w:ascii="arial" w:eastAsia="arial" w:hAnsi="arial" w:cs="arial"/>
          <w:b w:val="0"/>
          <w:i w:val="0"/>
          <w:strike w:val="0"/>
          <w:noProof w:val="0"/>
          <w:color w:val="000000"/>
          <w:position w:val="0"/>
          <w:sz w:val="18"/>
          <w:u w:val="none"/>
          <w:vertAlign w:val="baseline"/>
        </w:rPr>
        <w:t>239 N.Y.S.3d 45 **</w:t>
      </w:r>
      <w:r>
        <w:rPr>
          <w:rFonts w:ascii="arial" w:eastAsia="arial" w:hAnsi="arial" w:cs="arial"/>
          <w:b w:val="0"/>
          <w:i w:val="0"/>
          <w:strike w:val="0"/>
          <w:noProof w:val="0"/>
          <w:color w:val="000000"/>
          <w:position w:val="0"/>
          <w:sz w:val="18"/>
          <w:u w:val="none"/>
          <w:vertAlign w:val="baseline"/>
        </w:rPr>
        <w:t xml:space="preserve">; </w:t>
      </w:r>
      <w:r>
        <w:rPr>
          <w:rFonts w:ascii="arial" w:eastAsia="arial" w:hAnsi="arial" w:cs="arial"/>
          <w:b w:val="0"/>
          <w:i w:val="0"/>
          <w:strike w:val="0"/>
          <w:noProof w:val="0"/>
          <w:color w:val="000000"/>
          <w:position w:val="0"/>
          <w:sz w:val="18"/>
          <w:u w:val="none"/>
          <w:vertAlign w:val="baseline"/>
        </w:rPr>
        <w:t>2025 N.Y. App. Div. LEXIS 4809 ***</w:t>
      </w:r>
      <w:r>
        <w:rPr>
          <w:rFonts w:ascii="arial" w:eastAsia="arial" w:hAnsi="arial" w:cs="arial"/>
          <w:b w:val="0"/>
          <w:i w:val="0"/>
          <w:strike w:val="0"/>
          <w:noProof w:val="0"/>
          <w:color w:val="000000"/>
          <w:position w:val="0"/>
          <w:sz w:val="18"/>
          <w:u w:val="none"/>
          <w:vertAlign w:val="baseline"/>
        </w:rPr>
        <w:t xml:space="preserve">; </w:t>
      </w:r>
      <w:r>
        <w:rPr>
          <w:rFonts w:ascii="arial" w:eastAsia="arial" w:hAnsi="arial" w:cs="arial"/>
          <w:b w:val="0"/>
          <w:i w:val="0"/>
          <w:strike w:val="0"/>
          <w:noProof w:val="0"/>
          <w:color w:val="000000"/>
          <w:position w:val="0"/>
          <w:sz w:val="18"/>
          <w:u w:val="none"/>
          <w:vertAlign w:val="baseline"/>
        </w:rPr>
        <w:t>2025 NY Slip Op 04757 ****</w:t>
      </w:r>
      <w:r>
        <w:rPr>
          <w:rFonts w:ascii="arial" w:eastAsia="arial" w:hAnsi="arial" w:cs="arial"/>
          <w:b w:val="0"/>
          <w:i w:val="0"/>
          <w:strike w:val="0"/>
          <w:noProof w:val="0"/>
          <w:color w:val="000000"/>
          <w:position w:val="0"/>
          <w:sz w:val="18"/>
          <w:u w:val="none"/>
          <w:vertAlign w:val="baseline"/>
        </w:rPr>
        <w:t xml:space="preserve">; </w:t>
      </w:r>
      <w:r>
        <w:rPr>
          <w:rFonts w:ascii="arial" w:eastAsia="arial" w:hAnsi="arial" w:cs="arial"/>
          <w:b w:val="0"/>
          <w:i w:val="0"/>
          <w:strike w:val="0"/>
          <w:noProof w:val="0"/>
          <w:color w:val="000000"/>
          <w:position w:val="0"/>
          <w:sz w:val="18"/>
          <w:u w:val="none"/>
          <w:vertAlign w:val="baseline"/>
        </w:rPr>
        <w:t>2025 LX 398614</w:t>
      </w:r>
    </w:p>
    <w:p>
      <w:pPr>
        <w:keepNext w:val="0"/>
        <w:spacing w:before="240" w:after="0" w:line="260" w:lineRule="atLeast"/>
        <w:ind w:left="0" w:right="0" w:firstLine="0"/>
        <w:jc w:val="left"/>
      </w:pPr>
      <w:r>
        <w:br/>
      </w:r>
      <w:r>
        <w:rPr>
          <w:rFonts w:ascii="arial" w:eastAsia="arial" w:hAnsi="arial" w:cs="arial"/>
          <w:b/>
          <w:i w:val="0"/>
          <w:strike w:val="0"/>
          <w:noProof w:val="0"/>
          <w:color w:val="000000"/>
          <w:position w:val="0"/>
          <w:sz w:val="20"/>
          <w:u w:val="none"/>
          <w:vertAlign w:val="baseline"/>
        </w:rPr>
        <w:t> [****1] </w:t>
      </w:r>
      <w:r>
        <w:rPr>
          <w:rFonts w:ascii="arial" w:eastAsia="arial" w:hAnsi="arial" w:cs="arial"/>
          <w:b w:val="0"/>
          <w:i w:val="0"/>
          <w:strike w:val="0"/>
          <w:noProof w:val="0"/>
          <w:color w:val="000000"/>
          <w:position w:val="0"/>
          <w:sz w:val="20"/>
          <w:u w:val="none"/>
          <w:vertAlign w:val="baseline"/>
        </w:rPr>
        <w:t xml:space="preserve"> Eleanor Stromberg et al., Respondents, v East River Housing Corporation, Appellant, et al., Defendants.</w:t>
      </w:r>
    </w:p>
    <w:p>
      <w:pPr>
        <w:keepNext w:val="0"/>
        <w:spacing w:before="240" w:after="0" w:line="260" w:lineRule="atLeast"/>
        <w:ind w:left="0" w:right="0" w:firstLine="0"/>
        <w:jc w:val="both"/>
      </w:pPr>
      <w:bookmarkStart w:id="2" w:name="Subsequent History"/>
      <w:bookmarkEnd w:id="2"/>
      <w:r>
        <w:rPr>
          <w:rFonts w:ascii="arial" w:eastAsia="arial" w:hAnsi="arial" w:cs="arial"/>
          <w:b/>
          <w:i w:val="0"/>
          <w:strike w:val="0"/>
          <w:noProof w:val="0"/>
          <w:color w:val="000000"/>
          <w:position w:val="0"/>
          <w:sz w:val="20"/>
          <w:u w:val="none"/>
          <w:vertAlign w:val="baseline"/>
        </w:rPr>
        <w:t>Subsequent History:</w:t>
      </w:r>
      <w:r>
        <w:rPr>
          <w:rFonts w:ascii="arial" w:eastAsia="arial" w:hAnsi="arial" w:cs="arial"/>
          <w:b w:val="0"/>
          <w:i w:val="0"/>
          <w:strike w:val="0"/>
          <w:noProof w:val="0"/>
          <w:color w:val="000000"/>
          <w:position w:val="0"/>
          <w:sz w:val="20"/>
          <w:u w:val="none"/>
          <w:vertAlign w:val="baseline"/>
        </w:rPr>
        <w:t> </w:t>
      </w:r>
      <w:r>
        <w:rPr>
          <w:rFonts w:ascii="arial" w:eastAsia="arial" w:hAnsi="arial" w:cs="arial"/>
          <w:b w:val="0"/>
          <w:i w:val="0"/>
          <w:strike w:val="0"/>
          <w:noProof w:val="0"/>
          <w:color w:val="000000"/>
          <w:position w:val="0"/>
          <w:sz w:val="20"/>
          <w:u w:val="none"/>
          <w:vertAlign w:val="baseline"/>
        </w:rPr>
        <w:t>As corrected through Wednesday, October 8, 2025.</w:t>
      </w:r>
    </w:p>
    <w:p>
      <w:pPr>
        <w:keepNext w:val="0"/>
        <w:spacing w:before="240" w:after="0" w:line="260" w:lineRule="atLeast"/>
        <w:ind w:left="0" w:right="0" w:firstLine="0"/>
        <w:jc w:val="left"/>
      </w:pPr>
      <w:bookmarkStart w:id="3" w:name="Prior History"/>
      <w:bookmarkEnd w:id="3"/>
      <w:r>
        <w:rPr>
          <w:rFonts w:ascii="arial" w:eastAsia="arial" w:hAnsi="arial" w:cs="arial"/>
          <w:b/>
          <w:i w:val="0"/>
          <w:strike w:val="0"/>
          <w:noProof w:val="0"/>
          <w:color w:val="000000"/>
          <w:position w:val="0"/>
          <w:sz w:val="20"/>
          <w:u w:val="none"/>
          <w:vertAlign w:val="baseline"/>
        </w:rPr>
        <w:t>Prior History:</w:t>
      </w:r>
      <w:r>
        <w:rPr>
          <w:rFonts w:ascii="arial" w:eastAsia="arial" w:hAnsi="arial" w:cs="arial"/>
          <w:b w:val="0"/>
          <w:i w:val="0"/>
          <w:strike w:val="0"/>
          <w:noProof w:val="0"/>
          <w:color w:val="000000"/>
          <w:position w:val="0"/>
          <w:sz w:val="20"/>
          <w:u w:val="none"/>
          <w:vertAlign w:val="baseline"/>
        </w:rPr>
        <w:t> </w:t>
      </w:r>
      <w:hyperlink r:id="rId11" w:history="1">
        <w:r>
          <w:rPr>
            <w:rFonts w:ascii="arial" w:eastAsia="arial" w:hAnsi="arial" w:cs="arial"/>
            <w:b w:val="0"/>
            <w:i/>
            <w:strike w:val="0"/>
            <w:noProof w:val="0"/>
            <w:color w:val="0077CC"/>
            <w:position w:val="0"/>
            <w:sz w:val="20"/>
            <w:u w:val="single"/>
            <w:shd w:val="clear" w:color="auto" w:fill="FFFFFF"/>
            <w:vertAlign w:val="baseline"/>
          </w:rPr>
          <w:t>Stromberg v. East Riv. Hous. Corp., 2023 N.Y. Misc. LEXIS 24350 (N.Y. Sup. Ct., Dec. 26, 2023)</w:t>
        </w:r>
      </w:hyperlink>
    </w:p>
    <w:p>
      <w:pPr>
        <w:keepNext/>
        <w:spacing w:before="240" w:after="0" w:line="340" w:lineRule="atLeast"/>
        <w:ind w:left="0" w:right="0" w:firstLine="0"/>
        <w:jc w:val="left"/>
      </w:pPr>
      <w:bookmarkStart w:id="4" w:name="Core Terms"/>
      <w:bookmarkEnd w:id="4"/>
      <w:r>
        <w:rPr>
          <w:rFonts w:ascii="arial" w:eastAsia="arial" w:hAnsi="arial" w:cs="arial"/>
          <w:b/>
          <w:i w:val="0"/>
          <w:strike w:val="0"/>
          <w:noProof w:val="0"/>
          <w:color w:val="000000"/>
          <w:position w:val="0"/>
          <w:sz w:val="28"/>
          <w:u w:val="none"/>
          <w:vertAlign w:val="baseline"/>
        </w:rPr>
        <w:t>Core Terms</w:t>
      </w:r>
    </w:p>
    <w:p>
      <w:pPr>
        <w:spacing w:line="60" w:lineRule="exact"/>
      </w:pPr>
      <w:r>
        <w:pict>
          <v:line id="_x0000_s1027" style="position:absolute;z-index:251658240" from="0,2pt" to="512pt,2pt" strokecolor="#009ddb" strokeweight="2pt">
            <v:stroke linestyle="single"/>
            <w10:wrap type="topAndBottom"/>
          </v:line>
        </w:pict>
      </w:r>
    </w:p>
    <w:p>
      <w:pPr>
        <w:keepNext w:val="0"/>
        <w:spacing w:before="120" w:after="0" w:line="260" w:lineRule="atLeast"/>
        <w:ind w:left="0" w:right="0" w:firstLine="0"/>
        <w:jc w:val="left"/>
      </w:pPr>
      <w:r>
        <w:rPr>
          <w:rFonts w:ascii="arial" w:eastAsia="arial" w:hAnsi="arial" w:cs="arial"/>
          <w:b w:val="0"/>
          <w:i w:val="0"/>
          <w:strike w:val="0"/>
          <w:noProof w:val="0"/>
          <w:color w:val="000000"/>
          <w:position w:val="0"/>
          <w:sz w:val="20"/>
          <w:u w:val="none"/>
          <w:vertAlign w:val="baseline"/>
        </w:rPr>
        <w:t>counterclaim, breach of contract claim, declaratory judgment, sale price, proprietary lease, summary judgment, alleged failure, attorney's fees, board's action, bylaws</w:t>
      </w:r>
    </w:p>
    <w:p>
      <w:pPr>
        <w:keepNext/>
        <w:spacing w:before="240" w:after="0" w:line="340" w:lineRule="atLeast"/>
        <w:ind w:left="0" w:right="0" w:firstLine="0"/>
        <w:jc w:val="left"/>
      </w:pPr>
      <w:bookmarkStart w:id="5" w:name="Headnotes/Summary"/>
      <w:bookmarkEnd w:id="5"/>
      <w:r>
        <w:rPr>
          <w:rFonts w:ascii="arial" w:eastAsia="arial" w:hAnsi="arial" w:cs="arial"/>
          <w:b/>
          <w:i w:val="0"/>
          <w:strike w:val="0"/>
          <w:noProof w:val="0"/>
          <w:color w:val="000000"/>
          <w:position w:val="0"/>
          <w:sz w:val="28"/>
          <w:u w:val="none"/>
          <w:vertAlign w:val="baseline"/>
        </w:rPr>
        <w:t>Headnotes/Summary</w:t>
      </w:r>
    </w:p>
    <w:p>
      <w:pPr>
        <w:spacing w:line="60" w:lineRule="exact"/>
      </w:pPr>
      <w:r>
        <w:pict>
          <v:line id="_x0000_s1028" style="position:absolute;z-index:251659264" from="0,2pt" to="512pt,2pt" strokecolor="#009ddb" strokeweight="2pt">
            <v:stroke linestyle="single"/>
            <w10:wrap type="topAndBottom"/>
          </v:line>
        </w:pict>
      </w:r>
    </w:p>
    <w:p>
      <w:pPr>
        <w:spacing w:line="120" w:lineRule="exact"/>
      </w:pPr>
    </w:p>
    <w:p>
      <w:pPr>
        <w:keepNext w:val="0"/>
        <w:spacing w:before="240" w:after="0" w:line="260" w:lineRule="atLeast"/>
        <w:ind w:left="0" w:right="0" w:firstLine="0"/>
        <w:jc w:val="left"/>
      </w:pPr>
      <w:bookmarkStart w:id="6" w:name="Headnotes"/>
      <w:bookmarkEnd w:id="6"/>
      <w:r>
        <w:rPr>
          <w:rFonts w:ascii="arial" w:eastAsia="arial" w:hAnsi="arial" w:cs="arial"/>
          <w:b/>
          <w:i w:val="0"/>
          <w:strike w:val="0"/>
          <w:noProof w:val="0"/>
          <w:color w:val="000000"/>
          <w:position w:val="0"/>
          <w:sz w:val="20"/>
          <w:u w:val="none"/>
          <w:vertAlign w:val="baseline"/>
        </w:rPr>
        <w:t>Headnotes</w:t>
      </w:r>
    </w:p>
    <w:p>
      <w:pPr>
        <w:keepNext w:val="0"/>
        <w:spacing w:before="240" w:after="0" w:line="260" w:lineRule="atLeast"/>
        <w:ind w:left="0" w:right="0" w:firstLine="0"/>
        <w:jc w:val="both"/>
      </w:pPr>
      <w:bookmarkStart w:id="7" w:name="Bookmark_hnpara_1"/>
      <w:bookmarkEnd w:id="7"/>
      <w:r>
        <w:rPr>
          <w:rFonts w:ascii="arial" w:eastAsia="arial" w:hAnsi="arial" w:cs="arial"/>
          <w:b/>
          <w:i w:val="0"/>
          <w:strike w:val="0"/>
          <w:noProof w:val="0"/>
          <w:color w:val="000000"/>
          <w:position w:val="0"/>
          <w:sz w:val="20"/>
          <w:u w:val="none"/>
          <w:vertAlign w:val="baseline"/>
        </w:rPr>
        <w:t>Condominiums and Cooperatives - Board of Directors - Refusal of Board to Approve Sale of Cooperative Apartment</w:t>
      </w:r>
    </w:p>
    <w:p>
      <w:pPr>
        <w:keepNext w:val="0"/>
        <w:spacing w:before="240" w:after="0" w:line="260" w:lineRule="atLeast"/>
        <w:ind w:left="0" w:right="0" w:firstLine="0"/>
        <w:jc w:val="left"/>
      </w:pPr>
      <w:bookmarkStart w:id="8" w:name="Counsel"/>
      <w:bookmarkEnd w:id="8"/>
      <w:r>
        <w:rPr>
          <w:rFonts w:ascii="arial" w:eastAsia="arial" w:hAnsi="arial" w:cs="arial"/>
          <w:b/>
          <w:i w:val="0"/>
          <w:strike w:val="0"/>
          <w:noProof w:val="0"/>
          <w:color w:val="000000"/>
          <w:position w:val="0"/>
          <w:sz w:val="20"/>
          <w:u w:val="none"/>
          <w:vertAlign w:val="baseline"/>
        </w:rPr>
        <w:t>Counsel:</w:t>
      </w:r>
      <w:r>
        <w:rPr>
          <w:rFonts w:ascii="arial" w:eastAsia="arial" w:hAnsi="arial" w:cs="arial"/>
          <w:b w:val="0"/>
          <w:i w:val="0"/>
          <w:strike w:val="0"/>
          <w:noProof w:val="0"/>
          <w:color w:val="000000"/>
          <w:position w:val="0"/>
          <w:sz w:val="20"/>
          <w:u w:val="none"/>
          <w:vertAlign w:val="baseline"/>
        </w:rPr>
        <w:t> </w:t>
      </w:r>
      <w:r>
        <w:rPr>
          <w:rFonts w:ascii="arial" w:eastAsia="arial" w:hAnsi="arial" w:cs="arial"/>
          <w:b/>
          <w:i w:val="0"/>
          <w:strike w:val="0"/>
          <w:noProof w:val="0"/>
          <w:color w:val="000000"/>
          <w:position w:val="0"/>
          <w:sz w:val="20"/>
          <w:u w:val="none"/>
          <w:vertAlign w:val="baseline"/>
        </w:rPr>
        <w:t> [***1] </w:t>
      </w:r>
      <w:r>
        <w:rPr>
          <w:rFonts w:ascii="arial" w:eastAsia="arial" w:hAnsi="arial" w:cs="arial"/>
          <w:b w:val="0"/>
          <w:i w:val="0"/>
          <w:strike w:val="0"/>
          <w:noProof w:val="0"/>
          <w:color w:val="000000"/>
          <w:position w:val="0"/>
          <w:sz w:val="20"/>
          <w:u w:val="none"/>
          <w:vertAlign w:val="baseline"/>
        </w:rPr>
        <w:t>Sills Cummis &amp; Gross P.C., New York (Mitchell D. Haddad of counsel), for appellant.</w:t>
      </w:r>
    </w:p>
    <w:p>
      <w:pPr>
        <w:keepNext w:val="0"/>
        <w:spacing w:before="120" w:after="0" w:line="260" w:lineRule="atLeast"/>
        <w:ind w:left="0" w:right="0" w:firstLine="0"/>
        <w:jc w:val="left"/>
      </w:pPr>
      <w:r>
        <w:rPr>
          <w:rFonts w:ascii="arial" w:eastAsia="arial" w:hAnsi="arial" w:cs="arial"/>
          <w:b w:val="0"/>
          <w:i w:val="0"/>
          <w:strike w:val="0"/>
          <w:noProof w:val="0"/>
          <w:color w:val="000000"/>
          <w:position w:val="0"/>
          <w:sz w:val="20"/>
          <w:u w:val="none"/>
          <w:vertAlign w:val="baseline"/>
        </w:rPr>
        <w:t>Adam Leitman Bailey, P.C., New York (Jeffrey R. Metz of counsel), for respondent.</w:t>
      </w:r>
    </w:p>
    <w:p>
      <w:pPr>
        <w:keepNext w:val="0"/>
        <w:spacing w:before="240" w:after="0" w:line="260" w:lineRule="atLeast"/>
        <w:ind w:left="0" w:right="0" w:firstLine="0"/>
        <w:jc w:val="left"/>
      </w:pPr>
      <w:bookmarkStart w:id="9" w:name="Judges"/>
      <w:bookmarkEnd w:id="9"/>
      <w:r>
        <w:rPr>
          <w:rFonts w:ascii="arial" w:eastAsia="arial" w:hAnsi="arial" w:cs="arial"/>
          <w:b/>
          <w:i w:val="0"/>
          <w:strike w:val="0"/>
          <w:noProof w:val="0"/>
          <w:color w:val="000000"/>
          <w:position w:val="0"/>
          <w:sz w:val="20"/>
          <w:u w:val="none"/>
          <w:vertAlign w:val="baseline"/>
        </w:rPr>
        <w:t>Judges:</w:t>
      </w:r>
      <w:r>
        <w:rPr>
          <w:rFonts w:ascii="arial" w:eastAsia="arial" w:hAnsi="arial" w:cs="arial"/>
          <w:b w:val="0"/>
          <w:i w:val="0"/>
          <w:strike w:val="0"/>
          <w:noProof w:val="0"/>
          <w:color w:val="000000"/>
          <w:position w:val="0"/>
          <w:sz w:val="20"/>
          <w:u w:val="none"/>
          <w:vertAlign w:val="baseline"/>
        </w:rPr>
        <w:t> Before: Moulton, J.P., Scarpulla, Kapnick, Rodriguez, Higgitt, JJ.</w:t>
      </w:r>
    </w:p>
    <w:p>
      <w:pPr>
        <w:keepNext/>
        <w:spacing w:before="240" w:after="0" w:line="340" w:lineRule="atLeast"/>
        <w:ind w:left="0" w:right="0" w:firstLine="0"/>
        <w:jc w:val="left"/>
      </w:pPr>
      <w:bookmarkStart w:id="10" w:name="Opinion"/>
      <w:bookmarkEnd w:id="10"/>
      <w:r>
        <w:rPr>
          <w:rFonts w:ascii="arial" w:eastAsia="arial" w:hAnsi="arial" w:cs="arial"/>
          <w:b/>
          <w:i w:val="0"/>
          <w:strike w:val="0"/>
          <w:noProof w:val="0"/>
          <w:color w:val="000000"/>
          <w:position w:val="0"/>
          <w:sz w:val="28"/>
          <w:u w:val="none"/>
          <w:vertAlign w:val="baseline"/>
        </w:rPr>
        <w:t>Opinion</w:t>
      </w:r>
    </w:p>
    <w:p>
      <w:pPr>
        <w:spacing w:line="60" w:lineRule="exact"/>
      </w:pPr>
      <w:r>
        <w:pict>
          <v:line id="_x0000_s1029" style="position:absolute;z-index:251660288" from="0,2pt" to="512pt,2pt" strokecolor="#009ddb" strokeweight="2pt">
            <v:stroke linestyle="single"/>
            <w10:wrap type="topAndBottom"/>
          </v:line>
        </w:pict>
      </w:r>
    </w:p>
    <w:p/>
    <w:p>
      <w:pPr>
        <w:keepNext w:val="0"/>
        <w:spacing w:before="200" w:after="0" w:line="260" w:lineRule="atLeast"/>
        <w:ind w:left="0" w:right="0" w:firstLine="0"/>
        <w:jc w:val="both"/>
      </w:pPr>
      <w:r>
        <w:rPr>
          <w:rFonts w:ascii="arial" w:eastAsia="arial" w:hAnsi="arial" w:cs="arial"/>
          <w:b/>
          <w:i w:val="0"/>
          <w:strike w:val="0"/>
          <w:noProof w:val="0"/>
          <w:color w:val="000000"/>
          <w:position w:val="0"/>
          <w:sz w:val="20"/>
          <w:u w:val="none"/>
          <w:vertAlign w:val="baseline"/>
        </w:rPr>
        <w:t> [*445] </w:t>
      </w:r>
      <w:r>
        <w:rPr>
          <w:rFonts w:ascii="arial" w:eastAsia="arial" w:hAnsi="arial" w:cs="arial"/>
          <w:b w:val="0"/>
          <w:i w:val="0"/>
          <w:strike w:val="0"/>
          <w:noProof w:val="0"/>
          <w:color w:val="000000"/>
          <w:position w:val="0"/>
          <w:sz w:val="20"/>
          <w:u w:val="none"/>
          <w:vertAlign w:val="baseline"/>
        </w:rPr>
        <w:t xml:space="preserve"> </w:t>
      </w:r>
      <w:r>
        <w:rPr>
          <w:rFonts w:ascii="arial" w:eastAsia="arial" w:hAnsi="arial" w:cs="arial"/>
          <w:b/>
          <w:i w:val="0"/>
          <w:strike w:val="0"/>
          <w:noProof w:val="0"/>
          <w:color w:val="000000"/>
          <w:position w:val="0"/>
          <w:sz w:val="20"/>
          <w:u w:val="none"/>
          <w:vertAlign w:val="baseline"/>
        </w:rPr>
        <w:t> [**45] </w:t>
      </w:r>
      <w:r>
        <w:rPr>
          <w:rFonts w:ascii="arial" w:eastAsia="arial" w:hAnsi="arial" w:cs="arial"/>
          <w:b w:val="0"/>
          <w:i w:val="0"/>
          <w:strike w:val="0"/>
          <w:noProof w:val="0"/>
          <w:color w:val="000000"/>
          <w:position w:val="0"/>
          <w:sz w:val="20"/>
          <w:u w:val="none"/>
          <w:vertAlign w:val="baseline"/>
        </w:rPr>
        <w:t xml:space="preserve"> Order, Supreme Court, New York County (Gerald Lebovits, J.), entered December 28, 2023, which, insofar as appealed from, denied defendant's motion for summary judgment dismissing the breach of contract claim and granted plaintiffs' cross-motion for summary judgment dismissing defendant's counterclaims, unanimously modified, on the law, to the extent of dismissing the breach of contract claim insofar as it is based on defendant's alleged failure to provide notifications of board action as required by defendant's bylaws and proprietary lease, and otherwise affirmed, without costs.</w:t>
      </w:r>
    </w:p>
    <w:p>
      <w:pPr>
        <w:keepNext w:val="0"/>
        <w:spacing w:before="200" w:after="0" w:line="260" w:lineRule="atLeast"/>
        <w:ind w:left="0" w:right="0" w:firstLine="0"/>
        <w:jc w:val="both"/>
      </w:pPr>
      <w:r>
        <w:rPr>
          <w:rFonts w:ascii="arial" w:eastAsia="arial" w:hAnsi="arial" w:cs="arial"/>
          <w:b w:val="0"/>
          <w:i w:val="0"/>
          <w:strike w:val="0"/>
          <w:noProof w:val="0"/>
          <w:color w:val="000000"/>
          <w:position w:val="0"/>
          <w:sz w:val="20"/>
          <w:u w:val="none"/>
          <w:vertAlign w:val="baseline"/>
        </w:rPr>
        <w:t>This appeal arises from the refusal by the board of defendant cooperative to approve the sale of plaintiffs' apartment. The motion court properly found that issues of fact exist as to whether the business judgment rule applies to defendant's rejection of the sale application. The parties sharply dispute whether a minimum sale price floor was implemented by defendant (</w:t>
      </w:r>
      <w:r>
        <w:rPr>
          <w:rFonts w:ascii="arial" w:eastAsia="arial" w:hAnsi="arial" w:cs="arial"/>
          <w:b w:val="0"/>
          <w:i/>
          <w:strike w:val="0"/>
          <w:noProof w:val="0"/>
          <w:color w:val="000000"/>
          <w:position w:val="0"/>
          <w:sz w:val="20"/>
          <w:u w:val="none"/>
          <w:vertAlign w:val="baseline"/>
        </w:rPr>
        <w:t xml:space="preserve">compare </w:t>
      </w:r>
      <w:hyperlink r:id="rId12" w:history="1">
        <w:r>
          <w:rPr>
            <w:rFonts w:ascii="arial" w:eastAsia="arial" w:hAnsi="arial" w:cs="arial"/>
            <w:b w:val="0"/>
            <w:i/>
            <w:strike w:val="0"/>
            <w:noProof w:val="0"/>
            <w:color w:val="0077CC"/>
            <w:position w:val="0"/>
            <w:sz w:val="20"/>
            <w:u w:val="single"/>
            <w:shd w:val="clear" w:color="auto" w:fill="FFFFFF"/>
            <w:vertAlign w:val="baseline"/>
          </w:rPr>
          <w:t>Singh v Turtle Bay Towers Corp.</w:t>
        </w:r>
      </w:hyperlink>
      <w:hyperlink r:id="rId13" w:history="1">
        <w:r>
          <w:rPr>
            <w:rFonts w:ascii="arial" w:eastAsia="arial" w:hAnsi="arial" w:cs="arial"/>
            <w:b w:val="0"/>
            <w:i/>
            <w:strike w:val="0"/>
            <w:noProof w:val="0"/>
            <w:color w:val="0077CC"/>
            <w:position w:val="0"/>
            <w:sz w:val="20"/>
            <w:u w:val="single"/>
            <w:shd w:val="clear" w:color="auto" w:fill="FFFFFF"/>
            <w:vertAlign w:val="baseline"/>
          </w:rPr>
          <w:t>, 74 AD3d 568, 568, 905 N.Y.S.2d 22 [1st Dept 2010]</w:t>
        </w:r>
      </w:hyperlink>
      <w:r>
        <w:rPr>
          <w:rFonts w:ascii="arial" w:eastAsia="arial" w:hAnsi="arial" w:cs="arial"/>
          <w:b w:val="0"/>
          <w:i w:val="0"/>
          <w:strike w:val="0"/>
          <w:noProof w:val="0"/>
          <w:color w:val="000000"/>
          <w:position w:val="0"/>
          <w:sz w:val="20"/>
          <w:u w:val="none"/>
          <w:vertAlign w:val="baseline"/>
        </w:rPr>
        <w:t xml:space="preserve"> </w:t>
      </w:r>
      <w:r>
        <w:rPr>
          <w:rFonts w:ascii="arial" w:eastAsia="arial" w:hAnsi="arial" w:cs="arial"/>
          <w:b w:val="0"/>
          <w:i/>
          <w:strike w:val="0"/>
          <w:noProof w:val="0"/>
          <w:color w:val="000000"/>
          <w:position w:val="0"/>
          <w:sz w:val="20"/>
          <w:u w:val="none"/>
          <w:vertAlign w:val="baseline"/>
        </w:rPr>
        <w:t>with</w:t>
      </w:r>
      <w:r>
        <w:rPr>
          <w:rFonts w:ascii="arial" w:eastAsia="arial" w:hAnsi="arial" w:cs="arial"/>
          <w:b w:val="0"/>
          <w:i w:val="0"/>
          <w:strike w:val="0"/>
          <w:noProof w:val="0"/>
          <w:color w:val="000000"/>
          <w:position w:val="0"/>
          <w:sz w:val="20"/>
          <w:u w:val="none"/>
          <w:vertAlign w:val="baseline"/>
        </w:rPr>
        <w:t xml:space="preserve"> </w:t>
      </w:r>
      <w:hyperlink r:id="rId14" w:history="1">
        <w:r>
          <w:rPr>
            <w:rFonts w:ascii="arial" w:eastAsia="arial" w:hAnsi="arial" w:cs="arial"/>
            <w:b w:val="0"/>
            <w:i/>
            <w:strike w:val="0"/>
            <w:noProof w:val="0"/>
            <w:color w:val="0077CC"/>
            <w:position w:val="0"/>
            <w:sz w:val="20"/>
            <w:u w:val="single"/>
            <w:shd w:val="clear" w:color="auto" w:fill="FFFFFF"/>
            <w:vertAlign w:val="baseline"/>
          </w:rPr>
          <w:t>Oakley v Longview Owners</w:t>
        </w:r>
      </w:hyperlink>
      <w:hyperlink r:id="rId15" w:history="1">
        <w:r>
          <w:rPr>
            <w:rFonts w:ascii="arial" w:eastAsia="arial" w:hAnsi="arial" w:cs="arial"/>
            <w:b w:val="0"/>
            <w:i/>
            <w:strike w:val="0"/>
            <w:noProof w:val="0"/>
            <w:color w:val="0077CC"/>
            <w:position w:val="0"/>
            <w:sz w:val="20"/>
            <w:u w:val="single"/>
            <w:shd w:val="clear" w:color="auto" w:fill="FFFFFF"/>
            <w:vertAlign w:val="baseline"/>
          </w:rPr>
          <w:t>, 165 Misc 2d 192, 193-194, 628 N.Y.S.2d 468 [Sup Ct, Westchester County 1995]</w:t>
        </w:r>
      </w:hyperlink>
      <w:r>
        <w:rPr>
          <w:rFonts w:ascii="arial" w:eastAsia="arial" w:hAnsi="arial" w:cs="arial"/>
          <w:b/>
          <w:i w:val="0"/>
          <w:strike w:val="0"/>
          <w:noProof w:val="0"/>
          <w:color w:val="000000"/>
          <w:position w:val="0"/>
          <w:sz w:val="20"/>
          <w:u w:val="none"/>
          <w:vertAlign w:val="baseline"/>
        </w:rPr>
        <w:t> [***2] </w:t>
      </w:r>
      <w:r>
        <w:rPr>
          <w:rFonts w:ascii="arial" w:eastAsia="arial" w:hAnsi="arial" w:cs="arial"/>
          <w:b w:val="0"/>
          <w:i w:val="0"/>
          <w:strike w:val="0"/>
          <w:noProof w:val="0"/>
          <w:color w:val="000000"/>
          <w:position w:val="0"/>
          <w:sz w:val="20"/>
          <w:u w:val="none"/>
          <w:vertAlign w:val="baseline"/>
        </w:rPr>
        <w:t>).</w:t>
      </w:r>
    </w:p>
    <w:p>
      <w:pPr>
        <w:keepNext w:val="0"/>
        <w:spacing w:before="200" w:after="0" w:line="260" w:lineRule="atLeast"/>
        <w:ind w:left="0" w:right="0" w:firstLine="0"/>
        <w:jc w:val="both"/>
      </w:pPr>
      <w:r>
        <w:rPr>
          <w:rFonts w:ascii="arial" w:eastAsia="arial" w:hAnsi="arial" w:cs="arial"/>
          <w:b w:val="0"/>
          <w:i w:val="0"/>
          <w:strike w:val="0"/>
          <w:noProof w:val="0"/>
          <w:color w:val="000000"/>
          <w:position w:val="0"/>
          <w:sz w:val="20"/>
          <w:u w:val="none"/>
          <w:vertAlign w:val="baseline"/>
        </w:rPr>
        <w:t>Plaintiffs have abandoned the branch of their breach of contract claim that is based on defendant's alleged failure to comply with certain notice provisions contained in the bylaws and proprietary lease regarding board action.</w:t>
      </w:r>
    </w:p>
    <w:p>
      <w:pPr>
        <w:keepNext w:val="0"/>
        <w:spacing w:before="240" w:after="0" w:line="260" w:lineRule="atLeast"/>
        <w:ind w:left="0" w:right="0" w:firstLine="0"/>
        <w:jc w:val="both"/>
      </w:pPr>
      <w:r>
        <w:rPr>
          <w:rFonts w:ascii="arial" w:eastAsia="arial" w:hAnsi="arial" w:cs="arial"/>
          <w:b w:val="0"/>
          <w:i w:val="0"/>
          <w:strike w:val="0"/>
          <w:noProof w:val="0"/>
          <w:color w:val="000000"/>
          <w:position w:val="0"/>
          <w:sz w:val="20"/>
          <w:u w:val="none"/>
          <w:vertAlign w:val="baseline"/>
        </w:rPr>
        <w:t xml:space="preserve">The motion court also correctly dismissed defendant's first and second counterclaims. The first counterclaim seeks a declaratory judgment that defendant's board of directors may properly consider an apartment's sales price when deciding whether to grant or withhold consent to a sale. Plaintiffs do not dispute that defendant may consider the purchase price; rather, they contend that the price may not be the </w:t>
      </w:r>
      <w:r>
        <w:rPr>
          <w:rFonts w:ascii="arial" w:eastAsia="arial" w:hAnsi="arial" w:cs="arial"/>
          <w:b w:val="0"/>
          <w:i/>
          <w:strike w:val="0"/>
          <w:noProof w:val="0"/>
          <w:color w:val="000000"/>
          <w:position w:val="0"/>
          <w:sz w:val="20"/>
          <w:u w:val="none"/>
          <w:vertAlign w:val="baseline"/>
        </w:rPr>
        <w:t>sole</w:t>
      </w:r>
      <w:r>
        <w:rPr>
          <w:rFonts w:ascii="arial" w:eastAsia="arial" w:hAnsi="arial" w:cs="arial"/>
          <w:b w:val="0"/>
          <w:i w:val="0"/>
          <w:strike w:val="0"/>
          <w:noProof w:val="0"/>
          <w:color w:val="000000"/>
          <w:position w:val="0"/>
          <w:sz w:val="20"/>
          <w:u w:val="none"/>
          <w:vertAlign w:val="baseline"/>
        </w:rPr>
        <w:t xml:space="preserve"> criterion </w:t>
      </w:r>
      <w:r>
        <w:rPr>
          <w:rFonts w:ascii="arial" w:eastAsia="arial" w:hAnsi="arial" w:cs="arial"/>
          <w:b/>
          <w:i w:val="0"/>
          <w:strike w:val="0"/>
          <w:noProof w:val="0"/>
          <w:color w:val="000000"/>
          <w:position w:val="0"/>
          <w:sz w:val="20"/>
          <w:u w:val="none"/>
          <w:vertAlign w:val="baseline"/>
        </w:rPr>
        <w:t> [*446] </w:t>
      </w:r>
      <w:r>
        <w:rPr>
          <w:rFonts w:ascii="arial" w:eastAsia="arial" w:hAnsi="arial" w:cs="arial"/>
          <w:b w:val="0"/>
          <w:i w:val="0"/>
          <w:strike w:val="0"/>
          <w:noProof w:val="0"/>
          <w:color w:val="000000"/>
          <w:position w:val="0"/>
          <w:sz w:val="20"/>
          <w:u w:val="none"/>
          <w:vertAlign w:val="baseline"/>
        </w:rPr>
        <w:t xml:space="preserve"> considered in approving or denying an application. The only question, as recognized by the motion court, is whether the particular </w:t>
      </w:r>
      <w:r>
        <w:rPr>
          <w:rFonts w:ascii="arial" w:eastAsia="arial" w:hAnsi="arial" w:cs="arial"/>
          <w:b w:val="0"/>
          <w:i/>
          <w:strike w:val="0"/>
          <w:noProof w:val="0"/>
          <w:color w:val="000000"/>
          <w:position w:val="0"/>
          <w:sz w:val="20"/>
          <w:u w:val="none"/>
          <w:vertAlign w:val="baseline"/>
        </w:rPr>
        <w:t>manner</w:t>
      </w:r>
      <w:r>
        <w:rPr>
          <w:rFonts w:ascii="arial" w:eastAsia="arial" w:hAnsi="arial" w:cs="arial"/>
          <w:b w:val="0"/>
          <w:i w:val="0"/>
          <w:strike w:val="0"/>
          <w:noProof w:val="0"/>
          <w:color w:val="000000"/>
          <w:position w:val="0"/>
          <w:sz w:val="20"/>
          <w:u w:val="none"/>
          <w:vertAlign w:val="baseline"/>
        </w:rPr>
        <w:t xml:space="preserve"> in which defendant considered the apartment's sales price was legally permissible, and defendant is not seeking a declaratory judgment on that issue. Therefore, no justiciable controversy exists (</w:t>
      </w:r>
      <w:r>
        <w:rPr>
          <w:rFonts w:ascii="arial" w:eastAsia="arial" w:hAnsi="arial" w:cs="arial"/>
          <w:b w:val="0"/>
          <w:i/>
          <w:strike w:val="0"/>
          <w:noProof w:val="0"/>
          <w:color w:val="000000"/>
          <w:position w:val="0"/>
          <w:sz w:val="20"/>
          <w:u w:val="none"/>
          <w:vertAlign w:val="baseline"/>
        </w:rPr>
        <w:t>see</w:t>
      </w:r>
      <w:r>
        <w:rPr>
          <w:rFonts w:ascii="arial" w:eastAsia="arial" w:hAnsi="arial" w:cs="arial"/>
          <w:b w:val="0"/>
          <w:i w:val="0"/>
          <w:strike w:val="0"/>
          <w:noProof w:val="0"/>
          <w:color w:val="000000"/>
          <w:position w:val="0"/>
          <w:sz w:val="20"/>
          <w:u w:val="none"/>
          <w:vertAlign w:val="baseline"/>
        </w:rPr>
        <w:t xml:space="preserve"> </w:t>
      </w:r>
      <w:hyperlink r:id="rId16" w:history="1">
        <w:r>
          <w:rPr>
            <w:rFonts w:ascii="arial" w:eastAsia="arial" w:hAnsi="arial" w:cs="arial"/>
            <w:b w:val="0"/>
            <w:i/>
            <w:strike w:val="0"/>
            <w:noProof w:val="0"/>
            <w:color w:val="0077CC"/>
            <w:position w:val="0"/>
            <w:sz w:val="20"/>
            <w:u w:val="single"/>
            <w:shd w:val="clear" w:color="auto" w:fill="FFFFFF"/>
            <w:vertAlign w:val="baseline"/>
          </w:rPr>
          <w:t>CPLR 3001</w:t>
        </w:r>
      </w:hyperlink>
      <w:r>
        <w:rPr>
          <w:rFonts w:ascii="arial" w:eastAsia="arial" w:hAnsi="arial" w:cs="arial"/>
          <w:b w:val="0"/>
          <w:i w:val="0"/>
          <w:strike w:val="0"/>
          <w:noProof w:val="0"/>
          <w:color w:val="000000"/>
          <w:position w:val="0"/>
          <w:sz w:val="20"/>
          <w:u w:val="none"/>
          <w:vertAlign w:val="baseline"/>
        </w:rPr>
        <w:t>), and the declaratory judgment counterclaim was properly dismissed.</w:t>
      </w:r>
    </w:p>
    <w:p>
      <w:pPr>
        <w:keepNext w:val="0"/>
        <w:spacing w:before="200" w:after="0" w:line="260" w:lineRule="atLeast"/>
        <w:ind w:left="0" w:right="0" w:firstLine="0"/>
        <w:jc w:val="both"/>
      </w:pPr>
      <w:r>
        <w:rPr>
          <w:rFonts w:ascii="arial" w:eastAsia="arial" w:hAnsi="arial" w:cs="arial"/>
          <w:b w:val="0"/>
          <w:i w:val="0"/>
          <w:strike w:val="0"/>
          <w:noProof w:val="0"/>
          <w:color w:val="000000"/>
          <w:position w:val="0"/>
          <w:sz w:val="20"/>
          <w:u w:val="none"/>
          <w:vertAlign w:val="baseline"/>
        </w:rPr>
        <w:t>As to the second counterclaim for attorneys' fees, it was based on an attorneys' fees provision substantially identical to the one we previously</w:t>
      </w:r>
      <w:r>
        <w:rPr>
          <w:rFonts w:ascii="arial" w:eastAsia="arial" w:hAnsi="arial" w:cs="arial"/>
          <w:b/>
          <w:i w:val="0"/>
          <w:strike w:val="0"/>
          <w:noProof w:val="0"/>
          <w:color w:val="000000"/>
          <w:position w:val="0"/>
          <w:sz w:val="20"/>
          <w:u w:val="none"/>
          <w:vertAlign w:val="baseline"/>
        </w:rPr>
        <w:t> [***3] </w:t>
      </w:r>
      <w:r>
        <w:rPr>
          <w:rFonts w:ascii="arial" w:eastAsia="arial" w:hAnsi="arial" w:cs="arial"/>
          <w:b w:val="0"/>
          <w:i w:val="0"/>
          <w:strike w:val="0"/>
          <w:noProof w:val="0"/>
          <w:color w:val="000000"/>
          <w:position w:val="0"/>
          <w:sz w:val="20"/>
          <w:u w:val="none"/>
          <w:vertAlign w:val="baseline"/>
        </w:rPr>
        <w:t xml:space="preserve"> held unenforceable in </w:t>
      </w:r>
      <w:hyperlink r:id="rId17" w:history="1">
        <w:r>
          <w:rPr>
            <w:rFonts w:ascii="arial" w:eastAsia="arial" w:hAnsi="arial" w:cs="arial"/>
            <w:b w:val="0"/>
            <w:i/>
            <w:strike w:val="0"/>
            <w:noProof w:val="0"/>
            <w:color w:val="0077CC"/>
            <w:position w:val="0"/>
            <w:sz w:val="20"/>
            <w:u w:val="single"/>
            <w:shd w:val="clear" w:color="auto" w:fill="FFFFFF"/>
            <w:vertAlign w:val="baseline"/>
          </w:rPr>
          <w:t>Matter of Krodel v Amalgamated Dwellings Inc.</w:t>
        </w:r>
      </w:hyperlink>
      <w:hyperlink r:id="rId18" w:history="1">
        <w:r>
          <w:rPr>
            <w:rFonts w:ascii="arial" w:eastAsia="arial" w:hAnsi="arial" w:cs="arial"/>
            <w:b w:val="0"/>
            <w:i/>
            <w:strike w:val="0"/>
            <w:noProof w:val="0"/>
            <w:color w:val="0077CC"/>
            <w:position w:val="0"/>
            <w:sz w:val="20"/>
            <w:u w:val="single"/>
            <w:shd w:val="clear" w:color="auto" w:fill="FFFFFF"/>
            <w:vertAlign w:val="baseline"/>
          </w:rPr>
          <w:t xml:space="preserve"> (166 AD3d 412, 414, 88 N.Y.S.3d 31 [1st Dept 2018]</w:t>
        </w:r>
      </w:hyperlink>
      <w:r>
        <w:rPr>
          <w:rFonts w:ascii="arial" w:eastAsia="arial" w:hAnsi="arial" w:cs="arial"/>
          <w:b w:val="0"/>
          <w:i w:val="0"/>
          <w:strike w:val="0"/>
          <w:noProof w:val="0"/>
          <w:color w:val="000000"/>
          <w:position w:val="0"/>
          <w:sz w:val="20"/>
          <w:u w:val="none"/>
          <w:vertAlign w:val="baseline"/>
        </w:rPr>
        <w:t xml:space="preserve">, </w:t>
      </w:r>
      <w:r>
        <w:rPr>
          <w:rFonts w:ascii="arial" w:eastAsia="arial" w:hAnsi="arial" w:cs="arial"/>
          <w:b w:val="0"/>
          <w:i/>
          <w:strike w:val="0"/>
          <w:noProof w:val="0"/>
          <w:color w:val="000000"/>
          <w:position w:val="0"/>
          <w:sz w:val="20"/>
          <w:u w:val="none"/>
          <w:vertAlign w:val="baseline"/>
        </w:rPr>
        <w:t>lv denied</w:t>
      </w:r>
      <w:r>
        <w:rPr>
          <w:rFonts w:ascii="arial" w:eastAsia="arial" w:hAnsi="arial" w:cs="arial"/>
          <w:b w:val="0"/>
          <w:i w:val="0"/>
          <w:strike w:val="0"/>
          <w:noProof w:val="0"/>
          <w:color w:val="000000"/>
          <w:position w:val="0"/>
          <w:sz w:val="20"/>
          <w:u w:val="none"/>
          <w:vertAlign w:val="baseline"/>
        </w:rPr>
        <w:t xml:space="preserve"> </w:t>
      </w:r>
      <w:r>
        <w:rPr>
          <w:rFonts w:ascii="arial" w:eastAsia="arial" w:hAnsi="arial" w:cs="arial"/>
          <w:b w:val="0"/>
          <w:i/>
          <w:strike w:val="0"/>
          <w:noProof w:val="0"/>
          <w:color w:val="000000"/>
          <w:position w:val="0"/>
          <w:sz w:val="20"/>
          <w:u w:val="none"/>
          <w:vertAlign w:val="baseline"/>
        </w:rPr>
        <w:t>33 NY3d 910 [2019]</w:t>
      </w:r>
      <w:r>
        <w:rPr>
          <w:rFonts w:ascii="arial" w:eastAsia="arial" w:hAnsi="arial" w:cs="arial"/>
          <w:b w:val="0"/>
          <w:i w:val="0"/>
          <w:strike w:val="0"/>
          <w:noProof w:val="0"/>
          <w:color w:val="000000"/>
          <w:position w:val="0"/>
          <w:sz w:val="20"/>
          <w:u w:val="none"/>
          <w:vertAlign w:val="baseline"/>
        </w:rPr>
        <w:t>).</w:t>
      </w:r>
    </w:p>
    <w:p>
      <w:pPr>
        <w:keepNext w:val="0"/>
        <w:spacing w:before="240" w:after="0" w:line="260" w:lineRule="atLeast"/>
        <w:ind w:left="0" w:right="0" w:firstLine="0"/>
        <w:jc w:val="both"/>
      </w:pPr>
      <w:r>
        <w:rPr>
          <w:rFonts w:ascii="arial" w:eastAsia="arial" w:hAnsi="arial" w:cs="arial"/>
          <w:b/>
          <w:i w:val="0"/>
          <w:strike w:val="0"/>
          <w:noProof w:val="0"/>
          <w:color w:val="000000"/>
          <w:position w:val="0"/>
          <w:sz w:val="20"/>
          <w:u w:val="none"/>
          <w:vertAlign w:val="baseline"/>
        </w:rPr>
        <w:t> [**46] </w:t>
      </w:r>
      <w:r>
        <w:rPr>
          <w:rFonts w:ascii="arial" w:eastAsia="arial" w:hAnsi="arial" w:cs="arial"/>
          <w:b w:val="0"/>
          <w:i w:val="0"/>
          <w:strike w:val="0"/>
          <w:noProof w:val="0"/>
          <w:color w:val="000000"/>
          <w:position w:val="0"/>
          <w:sz w:val="20"/>
          <w:u w:val="none"/>
          <w:vertAlign w:val="baseline"/>
        </w:rPr>
        <w:t xml:space="preserve"> </w:t>
      </w:r>
      <w:bookmarkStart w:id="11" w:name="Bookmark_I08H0CVNKVJ003MBF37002R5"/>
      <w:bookmarkEnd w:id="11"/>
      <w:r>
        <w:rPr>
          <w:rFonts w:ascii="arial" w:eastAsia="arial" w:hAnsi="arial" w:cs="arial"/>
          <w:b w:val="0"/>
          <w:i w:val="0"/>
          <w:strike w:val="0"/>
          <w:noProof w:val="0"/>
          <w:color w:val="000000"/>
          <w:position w:val="0"/>
          <w:sz w:val="20"/>
          <w:u w:val="none"/>
          <w:vertAlign w:val="baseline"/>
        </w:rPr>
        <w:t xml:space="preserve">We have considered the remaining arguments and find them unavailing. Concur—Moulton, J.P., Scarpulla, Kapnick, Rodriguez, Higgitt, JJ. </w:t>
      </w:r>
      <w:r>
        <w:rPr>
          <w:rFonts w:ascii="arial" w:eastAsia="arial" w:hAnsi="arial" w:cs="arial"/>
          <w:b/>
          <w:i w:val="0"/>
          <w:strike w:val="0"/>
          <w:noProof w:val="0"/>
          <w:color w:val="000000"/>
          <w:position w:val="0"/>
          <w:sz w:val="20"/>
          <w:u w:val="none"/>
          <w:vertAlign w:val="baseline"/>
        </w:rPr>
        <w:t>[</w:t>
      </w:r>
      <w:bookmarkStart w:id="12" w:name="Bookmark_I08H0CVNKVJ003MBF37002R4"/>
      <w:bookmarkEnd w:id="12"/>
      <w:hyperlink r:id="rId19" w:history="1">
        <w:r>
          <w:rPr>
            <w:rFonts w:ascii="arial" w:eastAsia="arial" w:hAnsi="arial" w:cs="arial"/>
            <w:b/>
            <w:i/>
            <w:strike w:val="0"/>
            <w:noProof w:val="0"/>
            <w:color w:val="0077CC"/>
            <w:position w:val="0"/>
            <w:sz w:val="20"/>
            <w:u w:val="single"/>
            <w:shd w:val="clear" w:color="auto" w:fill="FFFFFF"/>
            <w:vertAlign w:val="baseline"/>
          </w:rPr>
          <w:t>Prior Case History: 82 Misc 3d 871</w:t>
        </w:r>
      </w:hyperlink>
      <w:r>
        <w:rPr>
          <w:rFonts w:ascii="arial" w:eastAsia="arial" w:hAnsi="arial" w:cs="arial"/>
          <w:b w:val="0"/>
          <w:i w:val="0"/>
          <w:strike w:val="0"/>
          <w:noProof w:val="0"/>
          <w:color w:val="000000"/>
          <w:position w:val="0"/>
          <w:sz w:val="20"/>
          <w:u w:val="none"/>
          <w:vertAlign w:val="baseline"/>
        </w:rPr>
        <w:t>.</w:t>
      </w:r>
    </w:p>
    <w:p/>
    <w:p>
      <w:pPr>
        <w:ind w:left="200"/>
      </w:pPr>
      <w:r>
        <w:br/>
      </w:r>
      <w:r>
        <w:pict>
          <v:line id="_x0000_s1030" style="position:absolute;z-index:251661312" from="0,10pt" to="512pt,10pt" strokecolor="black" strokeweight="1pt">
            <v:stroke linestyle="single"/>
          </v:line>
        </w:pict>
      </w:r>
      <w:r>
        <w:rPr>
          <w:rFonts w:ascii="arial" w:eastAsia="arial" w:hAnsi="arial" w:cs="arial"/>
          <w:b/>
          <w:color w:val="767676"/>
          <w:sz w:val="16"/>
        </w:rPr>
        <w:t>End of Document</w:t>
      </w:r>
    </w:p>
    <w:sectPr>
      <w:type w:val="continuous"/>
      <w:pgMar w:top="840" w:right="1000" w:bottom="840" w:left="1000" w:header="400" w:footer="400"/>
      <w:pgNumType w:fmt="decimal"/>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80" w:type="dxa"/>
      <w:jc w:val="center"/>
      <w:tblBorders>
        <w:top w:val="nil"/>
        <w:left w:val="nil"/>
        <w:bottom w:val="nil"/>
        <w:right w:val="nil"/>
        <w:insideH w:val="nil"/>
        <w:insideV w:val="nil"/>
      </w:tblBorders>
      <w:tblLayout w:type="fixed"/>
      <w:tblCellMar>
        <w:left w:w="108" w:type="dxa"/>
        <w:right w:w="108" w:type="dxa"/>
      </w:tblCellMar>
    </w:tblPr>
    <w:tblGrid>
      <w:gridCol w:w="2600"/>
      <w:gridCol w:w="4880"/>
      <w:gridCol w:w="2600"/>
    </w:tblGrid>
    <w:tr>
      <w:tblPrEx>
        <w:tblW w:w="10080" w:type="dxa"/>
        <w:tblLayout w:type="fixed"/>
      </w:tblPrEx>
      <w:tc>
        <w:tcPr>
          <w:tcW w:w="2600" w:type="dxa"/>
          <w:tcMar>
            <w:top w:w="200" w:type="dxa"/>
          </w:tcMar>
          <w:vAlign w:val="center"/>
        </w:tcPr>
        <w:p/>
      </w:tc>
      <w:tc>
        <w:tcPr>
          <w:tcW w:w="4880" w:type="dxa"/>
          <w:tcMar>
            <w:top w:w="200" w:type="dxa"/>
          </w:tcMar>
          <w:vAlign w:val="center"/>
        </w:tcPr>
        <w:p>
          <w:pPr>
            <w:jc w:val="center"/>
          </w:pPr>
        </w:p>
        <w:p>
          <w:pPr>
            <w:jc w:val="center"/>
          </w:pPr>
          <w:r>
            <w:rPr>
              <w:rFonts w:ascii="arial" w:eastAsia="arial" w:hAnsi="arial" w:cs="arial"/>
              <w:sz w:val="20"/>
            </w:rPr>
            <w:t xml:space="preserve">Page </w:t>
          </w:r>
          <w:r>
            <w:rPr>
              <w:rFonts w:ascii="arial" w:eastAsia="arial" w:hAnsi="arial" w:cs="arial"/>
              <w:sz w:val="20"/>
            </w:rPr>
            <w:fldChar w:fldCharType="begin"/>
          </w:r>
          <w:r>
            <w:rPr>
              <w:rFonts w:ascii="arial" w:eastAsia="arial" w:hAnsi="arial" w:cs="arial"/>
              <w:sz w:val="20"/>
            </w:rPr>
            <w:instrText xml:space="preserve"> PAGE </w:instrText>
          </w:r>
          <w:r>
            <w:rPr>
              <w:rFonts w:ascii="arial" w:eastAsia="arial" w:hAnsi="arial" w:cs="arial"/>
              <w:sz w:val="20"/>
            </w:rPr>
            <w:fldChar w:fldCharType="separate"/>
          </w:r>
          <w:r>
            <w:rPr>
              <w:rFonts w:ascii="arial" w:eastAsia="arial" w:hAnsi="arial" w:cs="arial"/>
              <w:sz w:val="20"/>
            </w:rPr>
            <w:fldChar w:fldCharType="end"/>
          </w:r>
          <w:r>
            <w:rPr>
              <w:rFonts w:ascii="arial" w:eastAsia="arial" w:hAnsi="arial" w:cs="arial"/>
              <w:sz w:val="20"/>
            </w:rPr>
            <w:t xml:space="preserve"> of </w:t>
          </w:r>
          <w:r>
            <w:rPr>
              <w:rFonts w:ascii="arial" w:eastAsia="arial" w:hAnsi="arial" w:cs="arial"/>
              <w:sz w:val="20"/>
            </w:rPr>
            <w:fldChar w:fldCharType="begin"/>
          </w:r>
          <w:r>
            <w:rPr>
              <w:rFonts w:ascii="arial" w:eastAsia="arial" w:hAnsi="arial" w:cs="arial"/>
              <w:sz w:val="20"/>
            </w:rPr>
            <w:instrText xml:space="preserve"> NUMPAGES </w:instrText>
          </w:r>
          <w:r>
            <w:rPr>
              <w:rFonts w:ascii="arial" w:eastAsia="arial" w:hAnsi="arial" w:cs="arial"/>
              <w:sz w:val="20"/>
            </w:rPr>
            <w:fldChar w:fldCharType="separate"/>
          </w:r>
          <w:r>
            <w:rPr>
              <w:rFonts w:ascii="arial" w:eastAsia="arial" w:hAnsi="arial" w:cs="arial"/>
              <w:sz w:val="20"/>
            </w:rPr>
            <w:fldChar w:fldCharType="end"/>
          </w:r>
        </w:p>
      </w:tc>
      <w:tc>
        <w:tcPr>
          <w:tcW w:w="2600" w:type="dxa"/>
          <w:tcMar>
            <w:top w:w="200" w:type="dxa"/>
          </w:tcMar>
          <w:vAlign w:val="center"/>
        </w:tcPr>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200"/>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80" w:type="dxa"/>
      <w:jc w:val="center"/>
      <w:tblBorders>
        <w:top w:val="nil"/>
        <w:left w:val="nil"/>
        <w:bottom w:val="nil"/>
        <w:right w:val="nil"/>
        <w:insideH w:val="nil"/>
        <w:insideV w:val="nil"/>
      </w:tblBorders>
      <w:tblLayout w:type="fixed"/>
      <w:tblCellMar>
        <w:left w:w="108" w:type="dxa"/>
        <w:right w:w="108" w:type="dxa"/>
      </w:tblCellMar>
    </w:tblPr>
    <w:tblGrid>
      <w:gridCol w:w="10080"/>
    </w:tblGrid>
    <w:tr>
      <w:tblPrEx>
        <w:tblW w:w="10080" w:type="dxa"/>
        <w:tblLayout w:type="fixed"/>
      </w:tblPrEx>
      <w:tc>
        <w:tcPr>
          <w:tcW w:w="10080" w:type="dxa"/>
          <w:vAlign w:val="center"/>
        </w:tcPr>
        <w:p/>
      </w:tc>
    </w:tr>
    <w:tr>
      <w:tblPrEx>
        <w:tblW w:w="10080" w:type="dxa"/>
        <w:tblLayout w:type="fixed"/>
      </w:tblPrEx>
      <w:tc>
        <w:tcPr>
          <w:tcW w:w="10080" w:type="dxa"/>
        </w:tcPr>
        <w:p>
          <w:pPr>
            <w:spacing w:before="60" w:after="200"/>
            <w:jc w:val="center"/>
          </w:pPr>
          <w:r>
            <w:rPr>
              <w:rFonts w:ascii="arial" w:eastAsia="arial" w:hAnsi="arial" w:cs="arial"/>
              <w:sz w:val="20"/>
            </w:rPr>
            <w:t>Stromberg v. East Riv. Hous. Corp.</w:t>
          </w:r>
        </w:p>
      </w:tc>
    </w:tr>
  </w:tbl>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lus.lexis.com/api/document?collection=cases&amp;id=urn:contentItem:6GJD-1M33-SJMP-R2TY-00000-00&amp;context=1530671" TargetMode="External" /><Relationship Id="rId11" Type="http://schemas.openxmlformats.org/officeDocument/2006/relationships/hyperlink" Target="https://plus.lexis.com/api/document?collection=cases&amp;id=urn:contentItem:6BCV-YPW3-S716-H48N-00000-00&amp;context=1530671" TargetMode="External" /><Relationship Id="rId12" Type="http://schemas.openxmlformats.org/officeDocument/2006/relationships/hyperlink" Target="https://plus.lexis.com/api/document?collection=cases&amp;id=urn:contentItem:7YPS-5Y70-YB0T-308G-00000-00&amp;context=1530671" TargetMode="External" /><Relationship Id="rId13" Type="http://schemas.openxmlformats.org/officeDocument/2006/relationships/hyperlink" Target="https://plus.lexis.com/api/document?collection=cases&amp;id=urn:contentItem:7YPS-5Y70-YB0T-308G-00000-00&amp;context=1530671" TargetMode="External" /><Relationship Id="rId14" Type="http://schemas.openxmlformats.org/officeDocument/2006/relationships/hyperlink" Target="https://plus.lexis.com/api/document?collection=cases&amp;id=urn:contentItem:3S2R-6920-003V-B32M-00000-00&amp;context=1530671" TargetMode="External" /><Relationship Id="rId15" Type="http://schemas.openxmlformats.org/officeDocument/2006/relationships/hyperlink" Target="https://plus.lexis.com/api/document?collection=cases&amp;id=urn:contentItem:3S2R-6920-003V-B32M-00000-00&amp;context=1530671" TargetMode="External" /><Relationship Id="rId16" Type="http://schemas.openxmlformats.org/officeDocument/2006/relationships/hyperlink" Target="https://plus.lexis.com/api/document?collection=statutes-legislation&amp;id=urn:contentItem:5CT3-08C1-6RDJ-84HF-00000-00&amp;context=1530671" TargetMode="External" /><Relationship Id="rId17" Type="http://schemas.openxmlformats.org/officeDocument/2006/relationships/hyperlink" Target="https://plus.lexis.com/api/document?collection=cases&amp;id=urn:contentItem:5TP0-3X21-JW5H-X3BN-00000-00&amp;context=1530671" TargetMode="External" /><Relationship Id="rId18" Type="http://schemas.openxmlformats.org/officeDocument/2006/relationships/hyperlink" Target="https://plus.lexis.com/api/document?collection=cases&amp;id=urn:contentItem:5TP0-3X21-JW5H-X3BN-00000-00&amp;context=1530671" TargetMode="External" /><Relationship Id="rId19" Type="http://schemas.openxmlformats.org/officeDocument/2006/relationships/hyperlink" Target="https://plus.lexis.com/api/document?collection=cases&amp;id=urn:contentItem:69YM-00J1-F4W2-60X6-00000-00&amp;context=1530671"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image" Target="media/image1.png" /><Relationship Id="rId8" Type="http://schemas.openxmlformats.org/officeDocument/2006/relationships/hyperlink" Target="https://plus.lexis.com/api/shepards?id=urn:contentItem:6GJK-J1X3-RRKC-S3JX-00000-00&amp;category=initial&amp;context=1530671" TargetMode="Externa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Stromberg v. East Riv. Hous. Corp.</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ocCount">
    <vt:lpwstr>1</vt:lpwstr>
  </property>
  <property fmtid="{D5CDD505-2E9C-101B-9397-08002B2CF9AE}" pid="3" name="LADocumentID:urn:contentItem:6GJD-1M33-SJMP-R2TY-00000-00">
    <vt:lpwstr>Doc::/shared/document|contextualFeaturePermID::1530671</vt:lpwstr>
  </property>
  <property fmtid="{D5CDD505-2E9C-101B-9397-08002B2CF9AE}" pid="4" name="LNDeliveryID">
    <vt:lpwstr>281127294</vt:lpwstr>
  </property>
  <property fmtid="{D5CDD505-2E9C-101B-9397-08002B2CF9AE}" pid="5" name="UserPermID">
    <vt:lpwstr>urn:user:PA191170594</vt:lpwstr>
  </property>
</Properties>
</file>